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301" w:lineRule="atLeast"/>
        <w:ind w:leftChars="0"/>
        <w:jc w:val="center"/>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成都市温江区人民医院</w:t>
      </w:r>
    </w:p>
    <w:p>
      <w:pPr>
        <w:widowControl/>
        <w:numPr>
          <w:ilvl w:val="0"/>
          <w:numId w:val="0"/>
        </w:numPr>
        <w:shd w:val="clear" w:color="auto" w:fill="FFFFFF"/>
        <w:spacing w:line="301" w:lineRule="atLeast"/>
        <w:ind w:leftChars="0"/>
        <w:jc w:val="center"/>
        <w:rPr>
          <w:rFonts w:hint="eastAsia" w:eastAsiaTheme="minorEastAsia"/>
          <w:sz w:val="28"/>
          <w:szCs w:val="28"/>
          <w:lang w:eastAsia="zh-CN"/>
        </w:rPr>
      </w:pPr>
      <w:r>
        <w:rPr>
          <w:rFonts w:hint="eastAsia" w:ascii="仿宋" w:hAnsi="仿宋" w:eastAsia="仿宋"/>
          <w:b/>
          <w:bCs/>
          <w:sz w:val="36"/>
          <w:szCs w:val="36"/>
          <w:lang w:val="en-US" w:eastAsia="zh-CN"/>
        </w:rPr>
        <w:t>交换机采购项目需求及附件</w:t>
      </w:r>
    </w:p>
    <w:tbl>
      <w:tblPr>
        <w:tblStyle w:val="13"/>
        <w:tblpPr w:leftFromText="180" w:rightFromText="180" w:vertAnchor="text" w:horzAnchor="page" w:tblpXSpec="center" w:tblpY="555"/>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7" w:type="dxa"/>
            <w:vAlign w:val="center"/>
          </w:tcPr>
          <w:p>
            <w:pPr>
              <w:jc w:val="center"/>
              <w:rPr>
                <w:rFonts w:hint="eastAsia" w:ascii="宋体" w:hAnsi="宋体" w:eastAsia="宋体" w:cs="宋体"/>
                <w:b/>
                <w:bCs w:val="0"/>
                <w:sz w:val="24"/>
                <w:szCs w:val="24"/>
                <w:lang w:eastAsia="zh-CN"/>
              </w:rPr>
            </w:pPr>
            <w:r>
              <w:rPr>
                <w:rFonts w:hint="eastAsia" w:ascii="仿宋" w:hAnsi="仿宋" w:eastAsia="仿宋"/>
                <w:b/>
                <w:bCs/>
                <w:i w:val="0"/>
                <w:iCs w:val="0"/>
                <w:color w:val="auto"/>
                <w:sz w:val="28"/>
                <w:szCs w:val="28"/>
                <w:lang w:val="en-US" w:eastAsia="zh-CN"/>
              </w:rPr>
              <w:t>一</w:t>
            </w:r>
          </w:p>
        </w:tc>
        <w:tc>
          <w:tcPr>
            <w:tcW w:w="8647" w:type="dxa"/>
            <w:vAlign w:val="center"/>
          </w:tcPr>
          <w:p>
            <w:pPr>
              <w:rPr>
                <w:rFonts w:ascii="宋体" w:hAnsi="宋体" w:eastAsia="宋体" w:cs="宋体"/>
                <w:b/>
                <w:bCs w:val="0"/>
                <w:sz w:val="24"/>
                <w:szCs w:val="24"/>
              </w:rPr>
            </w:pPr>
            <w:r>
              <w:rPr>
                <w:rFonts w:hint="eastAsia" w:ascii="仿宋" w:hAnsi="仿宋" w:eastAsia="仿宋"/>
                <w:b/>
                <w:bCs/>
                <w:i w:val="0"/>
                <w:iCs w:val="0"/>
                <w:color w:val="auto"/>
                <w:sz w:val="28"/>
                <w:szCs w:val="28"/>
                <w:lang w:val="en-US" w:eastAsia="zh-CN"/>
              </w:rPr>
              <w:t>汇聚交换机技术要求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1</w:t>
            </w:r>
          </w:p>
        </w:tc>
        <w:tc>
          <w:tcPr>
            <w:tcW w:w="864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交换容量≥400Gbps，包转发率≥120Mpps；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w:t>
            </w:r>
          </w:p>
        </w:tc>
        <w:tc>
          <w:tcPr>
            <w:tcW w:w="864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支持可插拔的双电源；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3</w:t>
            </w:r>
          </w:p>
        </w:tc>
        <w:tc>
          <w:tcPr>
            <w:tcW w:w="8647" w:type="dxa"/>
            <w:vAlign w:val="center"/>
          </w:tcPr>
          <w:p>
            <w:pPr>
              <w:pStyle w:val="2"/>
              <w:snapToGrid w:val="0"/>
              <w:spacing w:after="0"/>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支持千兆SFP接口≥24个，10/100/1000BASE-T以太网接口≥8个，万兆SFP+接口≥4个，整机36个端口支持同时工作及流量转发,配置一个电源；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4</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配置标准USB接口，支持U盘快速开局；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5</w:t>
            </w:r>
          </w:p>
        </w:tc>
        <w:tc>
          <w:tcPr>
            <w:tcW w:w="8647" w:type="dxa"/>
            <w:vAlign w:val="center"/>
          </w:tcPr>
          <w:p>
            <w:pPr>
              <w:pStyle w:val="2"/>
              <w:snapToGrid w:val="0"/>
              <w:spacing w:after="0"/>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支持MAC地址≥16K，ARP表项≥8K，Ipv4路由FIB表≥8K，Ipv6路由FIB表≥3K；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6</w:t>
            </w:r>
          </w:p>
        </w:tc>
        <w:tc>
          <w:tcPr>
            <w:tcW w:w="8647" w:type="dxa"/>
            <w:vAlign w:val="center"/>
          </w:tcPr>
          <w:p>
            <w:pPr>
              <w:pStyle w:val="2"/>
              <w:snapToGrid w:val="0"/>
              <w:spacing w:after="0"/>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支持4K个VLAN，支持Voice VLAN，基于端口的VLAN，基于MAC的VLAN，基于协议的VLAN，支持1:1和N:1 VLAN Mapping功能；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7</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支持RIP、RIPng、OSPF、OSPFv3、ISIS、BGP等路由协议；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8</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支持IPv4/IPv6双协议栈，支持6to4、ISATAP、手动配置tunnel；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9</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支持DHCPv4/v6 client/relay/server/snooping；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10</w:t>
            </w:r>
          </w:p>
        </w:tc>
        <w:tc>
          <w:tcPr>
            <w:tcW w:w="8647" w:type="dxa"/>
            <w:vAlign w:val="center"/>
          </w:tcPr>
          <w:p>
            <w:pPr>
              <w:pStyle w:val="2"/>
              <w:snapToGrid w:val="0"/>
              <w:spacing w:after="0"/>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支持三层IPv4组播路由协议PIM，三层IPv6组播路由协议MLD；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11</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 xml:space="preserve">支持802.1x、MAC认证和Portal认证，支持 IPSec 对管理报文加密，支持CPU保护功能；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12</w:t>
            </w:r>
          </w:p>
        </w:tc>
        <w:tc>
          <w:tcPr>
            <w:tcW w:w="864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支持对端口接收报文速率和发送报文速率进行限制，支持SP、WRR、SP+WRR等队列调度算法，支持报文的 802.1p 和 DSCP 优先级重新标记；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13</w:t>
            </w:r>
          </w:p>
        </w:tc>
        <w:tc>
          <w:tcPr>
            <w:tcW w:w="8647" w:type="dxa"/>
            <w:vAlign w:val="center"/>
          </w:tcPr>
          <w:p>
            <w:pPr>
              <w:pStyle w:val="2"/>
              <w:snapToGrid w:val="0"/>
              <w:spacing w:after="0"/>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14</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支持音视频业务的智能运维，将设备作为监控节点周期统计并上报音视频业务类指标参数至网络分析组件引擎，由网络分析组件引擎结合多个节点的监控结果，对音视频业务质量类故障进行快速定界；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15</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支持基于Python语言的开放可编程系统，管理员可以通过Python脚本对交换机进行运维功能的编程，快速实现功能创新，实现智能化运维；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16</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 xml:space="preserve">支持SNMP v1/v2/v3、Telnet、RMON、SSHv2，支持通过命令行、Web、中文图形化配置软件等方式进行配置和管理；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17</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提供工信部入网证，接入、汇聚交换需为同一品牌；</w:t>
            </w:r>
          </w:p>
        </w:tc>
      </w:tr>
    </w:tbl>
    <w:p>
      <w:pPr>
        <w:rPr>
          <w:rFonts w:hint="eastAsia" w:eastAsiaTheme="minorEastAsia"/>
          <w:sz w:val="28"/>
          <w:szCs w:val="28"/>
          <w:lang w:eastAsia="zh-CN"/>
        </w:rPr>
      </w:pPr>
    </w:p>
    <w:tbl>
      <w:tblPr>
        <w:tblStyle w:val="13"/>
        <w:tblpPr w:leftFromText="180" w:rightFromText="180" w:vertAnchor="text" w:horzAnchor="page" w:tblpXSpec="center" w:tblpY="555"/>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7"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二</w:t>
            </w:r>
          </w:p>
        </w:tc>
        <w:tc>
          <w:tcPr>
            <w:tcW w:w="8647" w:type="dxa"/>
            <w:vAlign w:val="center"/>
          </w:tcPr>
          <w:p>
            <w:pPr>
              <w:rPr>
                <w:rFonts w:ascii="宋体" w:hAnsi="宋体" w:eastAsia="宋体" w:cs="宋体"/>
                <w:b/>
                <w:bCs w:val="0"/>
                <w:sz w:val="24"/>
                <w:szCs w:val="24"/>
              </w:rPr>
            </w:pPr>
            <w:r>
              <w:rPr>
                <w:rFonts w:hint="eastAsia" w:ascii="仿宋" w:hAnsi="仿宋" w:eastAsia="仿宋"/>
                <w:b/>
                <w:bCs/>
                <w:i w:val="0"/>
                <w:iCs w:val="0"/>
                <w:color w:val="auto"/>
                <w:sz w:val="28"/>
                <w:szCs w:val="28"/>
                <w:lang w:val="en-US" w:eastAsia="zh-CN"/>
              </w:rPr>
              <w:t>接入交换机技术要求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w:t>
            </w:r>
            <w:r>
              <w:rPr>
                <w:rFonts w:hint="eastAsia" w:ascii="仿宋" w:hAnsi="仿宋" w:eastAsia="仿宋"/>
                <w:i w:val="0"/>
                <w:iCs w:val="0"/>
                <w:color w:val="auto"/>
                <w:sz w:val="28"/>
                <w:szCs w:val="28"/>
                <w:lang w:val="en-US" w:eastAsia="zh-CN"/>
              </w:rPr>
              <w:t>1</w:t>
            </w:r>
          </w:p>
        </w:tc>
        <w:tc>
          <w:tcPr>
            <w:tcW w:w="864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交换容量≥336Gbps/3.36Tbps，包转发率≥51Mpps/126Mpps，24个千兆电口，4个千兆SFP；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w:t>
            </w:r>
          </w:p>
        </w:tc>
        <w:tc>
          <w:tcPr>
            <w:tcW w:w="864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支持ARP表项≥2K；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3</w:t>
            </w:r>
          </w:p>
        </w:tc>
        <w:tc>
          <w:tcPr>
            <w:tcW w:w="864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支持静态路由、RIP、RIPng、OSPF；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4</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支持Ipv4 FIB表项≥4K；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5</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支持智能堆叠，堆叠后逻辑上虚拟为一台设备，具有统一的表项和管理，堆叠系统通过多台成员设备之间冗余备份，支持以太网电口堆叠，用网线连接实现堆叠功能；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6</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支持纵向虚拟化，作为纵向子节点零配置即插即用，提供权威第三方测试报告；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7</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支持802.3az能效以太网EEE，节能环保；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8</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采用静音无风扇设计，环保无噪声；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9</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支持Openflow 1.3标准，提供权威第三方测试报告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w:t>
            </w:r>
            <w:r>
              <w:rPr>
                <w:rFonts w:hint="eastAsia" w:ascii="仿宋" w:hAnsi="仿宋" w:eastAsia="仿宋"/>
                <w:i w:val="0"/>
                <w:iCs w:val="0"/>
                <w:color w:val="auto"/>
                <w:sz w:val="28"/>
                <w:szCs w:val="28"/>
                <w:lang w:val="en-US" w:eastAsia="zh-CN"/>
              </w:rPr>
              <w:t>10</w:t>
            </w:r>
          </w:p>
        </w:tc>
        <w:tc>
          <w:tcPr>
            <w:tcW w:w="864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提供工信部入网证，接入、汇聚交换需为同一品牌；</w:t>
            </w:r>
          </w:p>
        </w:tc>
      </w:tr>
    </w:tbl>
    <w:p>
      <w:pPr>
        <w:jc w:val="center"/>
        <w:rPr>
          <w:rFonts w:hint="eastAsia" w:ascii="仿宋" w:hAnsi="仿宋" w:eastAsia="仿宋"/>
          <w:i w:val="0"/>
          <w:iCs w:val="0"/>
          <w:color w:val="auto"/>
          <w:sz w:val="28"/>
          <w:szCs w:val="28"/>
          <w:lang w:val="en-US" w:eastAsia="zh-CN"/>
        </w:rPr>
      </w:pPr>
    </w:p>
    <w:tbl>
      <w:tblPr>
        <w:tblStyle w:val="13"/>
        <w:tblpPr w:leftFromText="180" w:rightFromText="180" w:vertAnchor="text" w:horzAnchor="page" w:tblpX="1335" w:tblpY="3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453"/>
        <w:gridCol w:w="6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b/>
                <w:bCs/>
                <w:i w:val="0"/>
                <w:iCs w:val="0"/>
                <w:color w:val="auto"/>
                <w:sz w:val="28"/>
                <w:szCs w:val="28"/>
                <w:lang w:val="en-US" w:eastAsia="zh-CN"/>
              </w:rPr>
            </w:pPr>
            <w:r>
              <w:rPr>
                <w:rFonts w:hint="eastAsia" w:ascii="仿宋" w:hAnsi="仿宋" w:eastAsia="仿宋"/>
                <w:b/>
                <w:bCs/>
                <w:i w:val="0"/>
                <w:iCs w:val="0"/>
                <w:color w:val="auto"/>
                <w:sz w:val="28"/>
                <w:szCs w:val="28"/>
                <w:lang w:val="en-US" w:eastAsia="zh-CN"/>
              </w:rPr>
              <w:t>三</w:t>
            </w:r>
          </w:p>
        </w:tc>
        <w:tc>
          <w:tcPr>
            <w:tcW w:w="8647" w:type="dxa"/>
            <w:gridSpan w:val="2"/>
            <w:vAlign w:val="center"/>
          </w:tcPr>
          <w:p>
            <w:pPr>
              <w:jc w:val="both"/>
              <w:rPr>
                <w:rFonts w:hint="eastAsia" w:ascii="仿宋" w:hAnsi="仿宋" w:eastAsia="仿宋"/>
                <w:b/>
                <w:bCs/>
                <w:i w:val="0"/>
                <w:iCs w:val="0"/>
                <w:color w:val="auto"/>
                <w:sz w:val="28"/>
                <w:szCs w:val="28"/>
                <w:lang w:val="en-US" w:eastAsia="zh-CN"/>
              </w:rPr>
            </w:pPr>
            <w:r>
              <w:rPr>
                <w:rFonts w:hint="eastAsia" w:ascii="仿宋" w:hAnsi="仿宋" w:eastAsia="仿宋"/>
                <w:b/>
                <w:bCs/>
                <w:i w:val="0"/>
                <w:iCs w:val="0"/>
                <w:color w:val="auto"/>
                <w:sz w:val="28"/>
                <w:szCs w:val="28"/>
                <w:lang w:val="en-US"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w:t>
            </w:r>
          </w:p>
        </w:tc>
        <w:tc>
          <w:tcPr>
            <w:tcW w:w="2453"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 xml:space="preserve">交货时间、地点  </w:t>
            </w:r>
          </w:p>
        </w:tc>
        <w:tc>
          <w:tcPr>
            <w:tcW w:w="6194"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合同签订后6个工作日内交货，地点为成都市温江区康泰路86号，成都市温江区人民医院内；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w:t>
            </w:r>
          </w:p>
        </w:tc>
        <w:tc>
          <w:tcPr>
            <w:tcW w:w="2453"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质保期</w:t>
            </w:r>
          </w:p>
        </w:tc>
        <w:tc>
          <w:tcPr>
            <w:tcW w:w="6194"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至少3年，质保期内免费维修；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★3</w:t>
            </w:r>
          </w:p>
        </w:tc>
        <w:tc>
          <w:tcPr>
            <w:tcW w:w="2453"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配套服务</w:t>
            </w:r>
          </w:p>
        </w:tc>
        <w:tc>
          <w:tcPr>
            <w:tcW w:w="6194"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服务响应时间应在4小时内，设备使用期内免费提供保养、升级、培训、技术支持等</w:t>
            </w:r>
            <w:bookmarkStart w:id="9" w:name="_GoBack"/>
            <w:bookmarkEnd w:id="9"/>
            <w:r>
              <w:rPr>
                <w:rFonts w:hint="eastAsia" w:ascii="仿宋" w:hAnsi="仿宋" w:eastAsia="仿宋"/>
                <w:i w:val="0"/>
                <w:iCs w:val="0"/>
                <w:color w:val="auto"/>
                <w:sz w:val="28"/>
                <w:szCs w:val="28"/>
                <w:lang w:val="en-US" w:eastAsia="zh-CN"/>
              </w:rPr>
              <w:t>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4</w:t>
            </w:r>
          </w:p>
        </w:tc>
        <w:tc>
          <w:tcPr>
            <w:tcW w:w="2453"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付款方式</w:t>
            </w:r>
          </w:p>
        </w:tc>
        <w:tc>
          <w:tcPr>
            <w:tcW w:w="6194"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验收合格后，中标供应商提供全额发票，医院在收到票据后15个工作日内支付合同总金额的95%，剩余合同总金额的5%作为质保金，合同满一年后无息支付；</w:t>
            </w:r>
          </w:p>
        </w:tc>
      </w:tr>
    </w:tbl>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2"/>
          <w:szCs w:val="21"/>
        </w:rPr>
        <w:t>“</w:t>
      </w:r>
      <w:r>
        <w:rPr>
          <w:rFonts w:hint="eastAsia" w:ascii="仿宋" w:hAnsi="仿宋" w:eastAsia="仿宋" w:cs="仿宋"/>
          <w:color w:val="000000"/>
          <w:kern w:val="0"/>
          <w:sz w:val="28"/>
          <w:szCs w:val="24"/>
        </w:rPr>
        <w:t>★”号项为实质性要求，必须满足</w:t>
      </w:r>
      <w:r>
        <w:rPr>
          <w:rFonts w:hint="eastAsia" w:ascii="仿宋" w:hAnsi="仿宋" w:eastAsia="仿宋" w:cs="仿宋"/>
          <w:color w:val="000000"/>
          <w:kern w:val="0"/>
          <w:sz w:val="28"/>
          <w:szCs w:val="24"/>
          <w:lang w:eastAsia="zh-CN"/>
        </w:rPr>
        <w:t>。</w:t>
      </w:r>
    </w:p>
    <w:p>
      <w:pPr>
        <w:pStyle w:val="6"/>
        <w:jc w:val="both"/>
        <w:rPr>
          <w:rFonts w:hint="eastAsia" w:ascii="仿宋" w:hAnsi="仿宋" w:eastAsia="仿宋"/>
          <w:b/>
          <w:bCs/>
          <w:i w:val="0"/>
          <w:iCs w:val="0"/>
          <w:color w:val="auto"/>
          <w:sz w:val="32"/>
          <w:szCs w:val="32"/>
          <w:lang w:val="en-US" w:eastAsia="zh-CN"/>
        </w:rPr>
      </w:pPr>
    </w:p>
    <w:p>
      <w:pPr>
        <w:rPr>
          <w:rFonts w:hint="eastAsia" w:ascii="仿宋" w:hAnsi="仿宋" w:eastAsia="仿宋"/>
          <w:b/>
          <w:bCs/>
          <w:i w:val="0"/>
          <w:iCs w:val="0"/>
          <w:color w:val="auto"/>
          <w:sz w:val="32"/>
          <w:szCs w:val="32"/>
          <w:lang w:val="en-US" w:eastAsia="zh-CN"/>
        </w:rPr>
      </w:pPr>
    </w:p>
    <w:p>
      <w:pPr>
        <w:pStyle w:val="2"/>
        <w:rPr>
          <w:rFonts w:hint="eastAsia" w:ascii="仿宋" w:hAnsi="仿宋" w:eastAsia="仿宋"/>
          <w:b/>
          <w:bCs/>
          <w:i w:val="0"/>
          <w:iCs w:val="0"/>
          <w:color w:val="auto"/>
          <w:sz w:val="32"/>
          <w:szCs w:val="32"/>
          <w:lang w:val="en-US" w:eastAsia="zh-CN"/>
        </w:rPr>
      </w:pPr>
    </w:p>
    <w:p>
      <w:pPr>
        <w:rPr>
          <w:rFonts w:hint="eastAsia"/>
          <w:lang w:val="en-US" w:eastAsia="zh-CN"/>
        </w:rPr>
      </w:pPr>
    </w:p>
    <w:p>
      <w:pPr>
        <w:pStyle w:val="6"/>
        <w:jc w:val="both"/>
        <w:rPr>
          <w:rFonts w:hint="eastAsia"/>
          <w:sz w:val="22"/>
          <w:szCs w:val="36"/>
          <w:lang w:eastAsia="zh-CN"/>
        </w:rPr>
      </w:pPr>
      <w:r>
        <w:rPr>
          <w:rFonts w:hint="eastAsia" w:ascii="仿宋" w:hAnsi="仿宋" w:eastAsia="仿宋"/>
          <w:b/>
          <w:bCs/>
          <w:i w:val="0"/>
          <w:iCs w:val="0"/>
          <w:color w:val="auto"/>
          <w:sz w:val="32"/>
          <w:szCs w:val="32"/>
          <w:lang w:val="en-US" w:eastAsia="zh-CN"/>
        </w:rPr>
        <w:t>附件一：文件要求应答表</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96"/>
        <w:gridCol w:w="279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249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lang w:eastAsia="zh-CN"/>
              </w:rPr>
              <w:t>采购</w:t>
            </w:r>
            <w:r>
              <w:rPr>
                <w:rFonts w:hint="eastAsia" w:ascii="仿宋" w:hAnsi="仿宋" w:eastAsia="仿宋" w:cs="仿宋"/>
                <w:color w:val="000000"/>
                <w:kern w:val="0"/>
                <w:sz w:val="28"/>
                <w:szCs w:val="24"/>
              </w:rPr>
              <w:t>文件要求</w:t>
            </w:r>
          </w:p>
        </w:tc>
        <w:tc>
          <w:tcPr>
            <w:tcW w:w="2791"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响应文件应答内容</w:t>
            </w:r>
          </w:p>
        </w:tc>
        <w:tc>
          <w:tcPr>
            <w:tcW w:w="2913"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响应/偏离</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bl>
    <w:p>
      <w:pPr>
        <w:rPr>
          <w:rFonts w:hint="eastAsia" w:ascii="仿宋" w:hAnsi="仿宋" w:eastAsia="仿宋" w:cs="仿宋"/>
          <w:color w:val="000000"/>
          <w:kern w:val="0"/>
          <w:sz w:val="28"/>
          <w:szCs w:val="24"/>
        </w:rPr>
      </w:pPr>
      <w:bookmarkStart w:id="0" w:name="_Hlk525910136"/>
      <w:r>
        <w:rPr>
          <w:rFonts w:hint="eastAsia" w:ascii="仿宋" w:hAnsi="仿宋" w:eastAsia="仿宋" w:cs="仿宋"/>
          <w:color w:val="000000"/>
          <w:kern w:val="0"/>
          <w:sz w:val="28"/>
          <w:szCs w:val="24"/>
        </w:rPr>
        <w:t>注：</w:t>
      </w:r>
    </w:p>
    <w:p>
      <w:pPr>
        <w:rPr>
          <w:rFonts w:hint="eastAsia" w:ascii="仿宋" w:hAnsi="仿宋" w:eastAsia="仿宋" w:cs="仿宋"/>
          <w:color w:val="000000"/>
          <w:kern w:val="0"/>
          <w:sz w:val="28"/>
          <w:szCs w:val="24"/>
        </w:rPr>
      </w:pPr>
      <w:bookmarkStart w:id="1" w:name="_Hlk525856462"/>
      <w:r>
        <w:rPr>
          <w:rFonts w:hint="eastAsia" w:ascii="仿宋" w:hAnsi="仿宋" w:eastAsia="仿宋" w:cs="仿宋"/>
          <w:color w:val="000000"/>
          <w:kern w:val="0"/>
          <w:sz w:val="28"/>
          <w:szCs w:val="24"/>
        </w:rPr>
        <w:t>1. 供应商必须把</w:t>
      </w:r>
      <w:r>
        <w:rPr>
          <w:rFonts w:hint="eastAsia" w:ascii="仿宋" w:hAnsi="仿宋" w:eastAsia="仿宋" w:cs="仿宋"/>
          <w:color w:val="000000"/>
          <w:kern w:val="0"/>
          <w:sz w:val="28"/>
          <w:szCs w:val="24"/>
          <w:lang w:eastAsia="zh-CN"/>
        </w:rPr>
        <w:t>本文件内的</w:t>
      </w:r>
      <w:r>
        <w:rPr>
          <w:rFonts w:hint="eastAsia" w:ascii="仿宋" w:hAnsi="仿宋" w:eastAsia="仿宋" w:cs="仿宋"/>
          <w:color w:val="000000"/>
          <w:kern w:val="0"/>
          <w:sz w:val="28"/>
          <w:szCs w:val="24"/>
        </w:rPr>
        <w:t>要求全部列入此表。</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2．按照</w:t>
      </w:r>
      <w:r>
        <w:rPr>
          <w:rFonts w:hint="eastAsia" w:ascii="仿宋" w:hAnsi="仿宋" w:eastAsia="仿宋" w:cs="仿宋"/>
          <w:color w:val="000000"/>
          <w:kern w:val="0"/>
          <w:sz w:val="28"/>
          <w:szCs w:val="24"/>
          <w:lang w:eastAsia="zh-CN"/>
        </w:rPr>
        <w:t>本</w:t>
      </w:r>
      <w:r>
        <w:rPr>
          <w:rFonts w:hint="eastAsia" w:ascii="仿宋" w:hAnsi="仿宋" w:eastAsia="仿宋" w:cs="仿宋"/>
          <w:color w:val="000000"/>
          <w:kern w:val="0"/>
          <w:sz w:val="28"/>
          <w:szCs w:val="24"/>
        </w:rPr>
        <w:t>文件要求的顺序逐条对应应答，未应答按照未响应处理。</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3．供应商必须据实应答，不得虚假应答，否则将取消成交资格。</w:t>
      </w:r>
    </w:p>
    <w:bookmarkEnd w:id="0"/>
    <w:bookmarkEnd w:id="1"/>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bookmarkStart w:id="2" w:name="_Hlk525910141"/>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p>
    <w:p>
      <w:pPr>
        <w:pStyle w:val="10"/>
        <w:rPr>
          <w:rFonts w:hint="eastAsia"/>
        </w:rPr>
      </w:pP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法定代表人/单位负责人或被授权人（签字或盖个人名章）：</w:t>
      </w: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日  期：</w:t>
      </w:r>
    </w:p>
    <w:bookmarkEnd w:id="2"/>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6"/>
        <w:numPr>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附件二：报价明细表</w:t>
      </w:r>
    </w:p>
    <w:tbl>
      <w:tblPr>
        <w:tblStyle w:val="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678"/>
        <w:gridCol w:w="837"/>
        <w:gridCol w:w="1392"/>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3678"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内容</w:t>
            </w:r>
          </w:p>
        </w:tc>
        <w:tc>
          <w:tcPr>
            <w:tcW w:w="837"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数量</w:t>
            </w:r>
          </w:p>
        </w:tc>
        <w:tc>
          <w:tcPr>
            <w:tcW w:w="1392"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合价（元）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bookmarkStart w:id="3" w:name="_Toc525661710"/>
      <w:bookmarkStart w:id="4"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pStyle w:val="10"/>
        <w:rPr>
          <w:rFonts w:hint="eastAsia"/>
        </w:rPr>
      </w:pPr>
    </w:p>
    <w:p>
      <w:pPr>
        <w:rPr>
          <w:rFonts w:hint="eastAsia" w:ascii="仿宋" w:hAnsi="仿宋" w:eastAsia="仿宋" w:cs="仿宋"/>
          <w:color w:val="000000"/>
          <w:kern w:val="0"/>
          <w:sz w:val="28"/>
          <w:szCs w:val="24"/>
        </w:rPr>
      </w:pPr>
      <w:bookmarkStart w:id="5" w:name="_Toc524745631"/>
      <w:bookmarkStart w:id="6" w:name="_Toc52566171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 </w:t>
      </w:r>
    </w:p>
    <w:p>
      <w:pPr>
        <w:rPr>
          <w:rFonts w:hint="eastAsia" w:ascii="仿宋" w:hAnsi="仿宋" w:eastAsia="仿宋" w:cs="仿宋"/>
          <w:color w:val="000000"/>
          <w:kern w:val="0"/>
          <w:sz w:val="28"/>
          <w:szCs w:val="24"/>
        </w:rPr>
      </w:pPr>
      <w:bookmarkStart w:id="7" w:name="_Toc524745632"/>
      <w:bookmarkStart w:id="8" w:name="_Toc52566171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C"/>
    <w:rsid w:val="00025660"/>
    <w:rsid w:val="0006100D"/>
    <w:rsid w:val="00071440"/>
    <w:rsid w:val="000B087D"/>
    <w:rsid w:val="000F27DE"/>
    <w:rsid w:val="0016030C"/>
    <w:rsid w:val="001B053A"/>
    <w:rsid w:val="001C6E7B"/>
    <w:rsid w:val="001F6C7F"/>
    <w:rsid w:val="00203B3E"/>
    <w:rsid w:val="0025319C"/>
    <w:rsid w:val="00266D27"/>
    <w:rsid w:val="00266EEC"/>
    <w:rsid w:val="002D75C0"/>
    <w:rsid w:val="002F4638"/>
    <w:rsid w:val="003C5EBA"/>
    <w:rsid w:val="003E1B70"/>
    <w:rsid w:val="00411C68"/>
    <w:rsid w:val="00464BE7"/>
    <w:rsid w:val="004E294C"/>
    <w:rsid w:val="004E56AF"/>
    <w:rsid w:val="005103E5"/>
    <w:rsid w:val="0056409A"/>
    <w:rsid w:val="00567430"/>
    <w:rsid w:val="0060383B"/>
    <w:rsid w:val="0066539A"/>
    <w:rsid w:val="00730B3D"/>
    <w:rsid w:val="00744257"/>
    <w:rsid w:val="00744B9E"/>
    <w:rsid w:val="007766D9"/>
    <w:rsid w:val="007A4123"/>
    <w:rsid w:val="00880FCF"/>
    <w:rsid w:val="0093047C"/>
    <w:rsid w:val="00933FA4"/>
    <w:rsid w:val="009C5622"/>
    <w:rsid w:val="009D0A01"/>
    <w:rsid w:val="00A12CA3"/>
    <w:rsid w:val="00A45B31"/>
    <w:rsid w:val="00A608F4"/>
    <w:rsid w:val="00A83A97"/>
    <w:rsid w:val="00AC79EA"/>
    <w:rsid w:val="00AD673A"/>
    <w:rsid w:val="00AD6EF8"/>
    <w:rsid w:val="00B1463F"/>
    <w:rsid w:val="00B245F6"/>
    <w:rsid w:val="00B74561"/>
    <w:rsid w:val="00BA7FC2"/>
    <w:rsid w:val="00C528AF"/>
    <w:rsid w:val="00C76859"/>
    <w:rsid w:val="00CF13EC"/>
    <w:rsid w:val="00DD7D00"/>
    <w:rsid w:val="00E135C0"/>
    <w:rsid w:val="00E74640"/>
    <w:rsid w:val="00EA7B73"/>
    <w:rsid w:val="00ED33CD"/>
    <w:rsid w:val="00EF2A1F"/>
    <w:rsid w:val="00F77217"/>
    <w:rsid w:val="00F9039A"/>
    <w:rsid w:val="00F9475E"/>
    <w:rsid w:val="00FC02F7"/>
    <w:rsid w:val="00FD2F57"/>
    <w:rsid w:val="0B8E25BD"/>
    <w:rsid w:val="0C843404"/>
    <w:rsid w:val="28AB3AAE"/>
    <w:rsid w:val="328A707C"/>
    <w:rsid w:val="3A7845B8"/>
    <w:rsid w:val="3BE0011E"/>
    <w:rsid w:val="3C1271E6"/>
    <w:rsid w:val="3F2B7B55"/>
    <w:rsid w:val="44083DEF"/>
    <w:rsid w:val="470141DC"/>
    <w:rsid w:val="557C02DF"/>
    <w:rsid w:val="5FBB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after="120"/>
    </w:pPr>
    <w:rPr>
      <w:rFonts w:eastAsia="宋体"/>
      <w:sz w:val="21"/>
      <w:szCs w:val="20"/>
    </w:r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Cs w:val="32"/>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table" w:customStyle="1" w:styleId="13">
    <w:name w:val="网格型2"/>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1174</Characters>
  <Lines>9</Lines>
  <Paragraphs>2</Paragraphs>
  <TotalTime>2</TotalTime>
  <ScaleCrop>false</ScaleCrop>
  <LinksUpToDate>false</LinksUpToDate>
  <CharactersWithSpaces>1377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2020-05-20T17:31:00Z</dcterms:created>
  <dc:creator>Hong You</dc:creator>
  <cp:lastModifiedBy>郭梦阳</cp:lastModifiedBy>
  <dcterms:modified xsi:type="dcterms:W3CDTF">2021-07-26T07:56:46Z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